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61A2C3C0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 w:rsidR="008F2156" w:rsidRPr="008F2156">
        <w:t xml:space="preserve">art. 69 do RLCE 2.0 e do art. 18, XI, da Lei n.º </w:t>
      </w:r>
      <w:r w:rsidR="00905E07" w:rsidRPr="00905E07">
        <w:t>15.080/2024</w:t>
      </w:r>
      <w:r>
        <w:t>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2042633602">
    <w:abstractNumId w:val="3"/>
  </w:num>
  <w:num w:numId="2" w16cid:durableId="2033064492">
    <w:abstractNumId w:val="2"/>
  </w:num>
  <w:num w:numId="3" w16cid:durableId="1527017774">
    <w:abstractNumId w:val="1"/>
  </w:num>
  <w:num w:numId="4" w16cid:durableId="48871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8F2156"/>
    <w:rsid w:val="00905E07"/>
    <w:rsid w:val="00D73E31"/>
    <w:rsid w:val="00D82ED9"/>
    <w:rsid w:val="00E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Fabricio Cezar Vieira De Oliveira</cp:lastModifiedBy>
  <cp:revision>4</cp:revision>
  <dcterms:created xsi:type="dcterms:W3CDTF">2023-05-05T12:46:00Z</dcterms:created>
  <dcterms:modified xsi:type="dcterms:W3CDTF">2025-10-22T21:24:00Z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